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</w:rPr>
        <w:drawing>
          <wp:inline distB="114300" distT="114300" distL="114300" distR="114300">
            <wp:extent cx="5486400" cy="213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.1664875637444"/>
        <w:gridCol w:w="8846.345323459878"/>
        <w:tblGridChange w:id="0">
          <w:tblGrid>
            <w:gridCol w:w="179.1664875637444"/>
            <w:gridCol w:w="8846.345323459878"/>
          </w:tblGrid>
        </w:tblGridChange>
      </w:tblGrid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Arkivinstruks - Template 2024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vzh9ih1lkxos" w:id="0"/>
      <w:bookmarkEnd w:id="0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Introduktion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Denne instruks har til formål at definere og fastsætte, hvorledes håndtering og arkivering af dokumenter skal foregå i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[virksomhedsnavn]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Instruksen skal altid danne baggrund for beslutninger og procedurer for anvendelsen af den elektroniske sags- og dokumenthåndteringsløsning i virksomheden og må ikke tilsidesættes.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Arkivadministrator og (og evt. DPO) har ansvaret for, at instruksen altid er opdateret og tilgængelig for alle relevante medarbejdere i virksomheden.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Arkivadministrator har ansvaret for, at denne Arkivinstruks altid er vedligeholdt, samt at arkivet bruges og vedligeholdes efter bestemmelserne.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Arkivadministrator skal altid opbevare originaludgaven af instruksen med tilhørende specifikationer.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Arkivadministrator skal sørge for orientering om, og udlevering af denne instruks til de ansatte i virksomheden ved ændringer i den.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Ændringer i arkivstrukturen kan kun ske efter godkendelse hos Arkivadministrator.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jc w:val="both"/>
        <w:rPr>
          <w:rFonts w:ascii="Open Sans" w:cs="Open Sans" w:eastAsia="Open Sans" w:hAnsi="Open Sans"/>
          <w:color w:val="000000"/>
          <w:sz w:val="26"/>
          <w:szCs w:val="26"/>
        </w:rPr>
      </w:pPr>
      <w:bookmarkStart w:colFirst="0" w:colLast="0" w:name="_rulll9dgklj3" w:id="1"/>
      <w:bookmarkEnd w:id="1"/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Målgruppe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Arkivinstruksen skal følges af alle administrative medarbejdere, IT-medarbejdere og ledelsen på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[virksomhedsnavn]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  <w:br w:type="textWrapping"/>
        <w:t xml:space="preserve">Følgende er undtaget fra denne instruks: [f.eks. servicemedarbejdere]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jc w:val="both"/>
        <w:rPr>
          <w:rFonts w:ascii="Open Sans" w:cs="Open Sans" w:eastAsia="Open Sans" w:hAnsi="Open Sans"/>
          <w:color w:val="000000"/>
          <w:sz w:val="26"/>
          <w:szCs w:val="26"/>
        </w:rPr>
      </w:pPr>
      <w:bookmarkStart w:colFirst="0" w:colLast="0" w:name="_mynkisskkv9z" w:id="2"/>
      <w:bookmarkEnd w:id="2"/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Formål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Formålet med arkivinstruksen er at sikre, at alle relevante dokumenter og sager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Arkiveres i overensstemmelse med gældende lovgivning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Arkiveres sikkert og ensartet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Er beskyttet mod uautoriseret læsning eller deling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Nemt kan genfindes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Nemt kan håndtere retten til aktindsigt, sletning mv.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Kan deles af flere medarbejdere eller parter på tværs af afdelinger, når det skønnes nødvendigt for en effektiv og korrekt sagsbehandling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Kan benyttes til videndeling, erfaringsudveksling og historik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Kan slettes, når de ikke længere tjener et formål eller understøtter et krav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Skal kunne samles til et datasæt, der skal afleveres til en myndighed, såsom Rigsarkivet.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4fpk9u5k6um2" w:id="3"/>
      <w:bookmarkEnd w:id="3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Lovgivningskrav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Det er god forvaltningsskik, at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[virksomhedsnavn]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har styr på og overblik over sine data.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Data skal forstås som alt, der skaber indsigt om personer, hændelser, aktiviteter, overvågning, målinger mv.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Ligeledes kan der være andre lovmæssige krav om dokumentation, indberetning eller historik på anden vis.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Her nævnes et par generelle love: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Arkivloven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(LBK nr. 1201 af 28/09/2016):              </w:t>
        <w:br w:type="textWrapping"/>
        <w:t xml:space="preserve">Offentlige institutioner er ifølge Arkivloven og underliggende bekendtgørelser forpligtet til at arkivere og journalisere relevante dokumenter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Offentlighedsloven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(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LBK nr. 145 af 24/02/2020):</w:t>
        <w:tab/>
        <w:br w:type="textWrapping"/>
        <w:t xml:space="preserve">Offentlighedsloven sikrer alle borgere rettigheder til at få indsigt i sager i den offentlige forvaltning.</w:t>
        <w:br w:type="textWrapping"/>
        <w:t xml:space="preserve"> Det kan kun ske, hvis sager og dokumenter er styret og kan genfindes hurtigt.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Forvaltningsloven 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(LBK nr. 433 af 22/04/2014):   </w:t>
        <w:tab/>
        <w:br w:type="textWrapping"/>
        <w:t xml:space="preserve">Forvaltningslovens krav til borgernes ret til aktindsigt i sager, hvor borgeren er en part, skaber et naturligt behov for at kunne dokumentere sager og sagshistorikker hurtigt og effektivt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Databeskyttelsesloven 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(LOV nr. 502 af 23/05/2018) og EU Databeskyttelsesforordning</w:t>
        <w:br w:type="textWrapping"/>
        <w:t xml:space="preserve">Hvor alle data om personer skal tjene et legitimt formål og et af de 6 grundlag, samt beskyttes ift. fortrolighed, integritet og troværdighed. Derudover skal persondata begrænses så vidt muligt i både omfang og opbevaringstid.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rFonts w:ascii="Open Sans" w:cs="Open Sans" w:eastAsia="Open Sans" w:hAnsi="Open Sans"/>
        </w:rPr>
      </w:pP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Bekendtgørelse om bevaring og kassation af arkivalier hos universiteter, erhvervsakademier, professionshøjskoler, ungdomsuddannelser m.fl. 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br w:type="textWrapping"/>
        <w:t xml:space="preserve">(</w:t>
      </w:r>
      <w:r w:rsidDel="00000000" w:rsidR="00000000" w:rsidRPr="00000000">
        <w:rPr>
          <w:rFonts w:ascii="Open Sans" w:cs="Open Sans" w:eastAsia="Open Sans" w:hAnsi="Open Sans"/>
          <w:shd w:fill="f9f9fb" w:val="clear"/>
          <w:rtl w:val="0"/>
        </w:rPr>
        <w:t xml:space="preserve">BEK nr 1640 af 08/12/2016)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uaipivnysld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1acvx24tn811" w:id="5"/>
      <w:bookmarkEnd w:id="5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Hvad skal arkiveres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Alt materiale, der giver anledning til sagsbehandling, eller på en ene måde anden skal understøtte et dokumentationskrav.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Materiale skal forstås som breve, mails, bilag, dokumenter, billeder osv.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Se listen over dokumenttyper, der skal arkiveres – Bilag 1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Ind- og udgående post (fysisk og digital) som vedrører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[virksomhedsnavn]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’s parter og interessenter</w:t>
        <w:br w:type="textWrapping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Det kan være internt eller eksternt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Politikker, retningslinjer og procesbeskrivelser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Ledelse, organisationsfora, samarbejdsorganer, bestyrelser mv.</w:t>
        <w:br w:type="textWrapping"/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Mødebilag, vedtægter mv.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Interne administrative sager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Kontrakter, aftaler og licenser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Kvalitetsarbejder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Personalearkiver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Evt. 3. parters (kunder, studerende mv.) sager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Alle notater vedr. en sag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Herudover skal alt, som kan have interesse for en sag eller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[virksomhedsnavn]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’s virke nu – eller i fremtiden arkiveres.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xzf2wn9k1794" w:id="6"/>
      <w:bookmarkEnd w:id="6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Hvad skal ikke arkiveres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 række dokumenter og mails skal ikke arkiveres: Det kan være simple forespørgsler eller informationer, som ikke har betydning for en sagsbehandling. Eller som i forvejen ligger tilgængelige i andre, online systemer.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lnzsskywvhvt" w:id="7"/>
      <w:bookmarkEnd w:id="7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Systemvalg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Som udgangspunkt arkiveres alle ovennævnte materialer i IMS Case.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Open Sans" w:cs="Open Sans" w:eastAsia="Open Sans" w:hAnsi="Open Sans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IMS Case anvendes som udgangspunkt til en systematisk opbevaring af dokumenter, som forpligter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[virksomhedsnavn]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over for en part (medarbejder, studerende, kunde eller lign.) og som dokumenterer, at en sag er behandlet efter gældende praksis og regler. Det er dog også muligt at arkivere i de ledelses godkendte systemer, så som f.eks.: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[administrationssystem, økonomisystem, HR-system]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cfhz12t88vff" w:id="8"/>
      <w:bookmarkEnd w:id="8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Fysisk arkivering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Papirarkiver skal kun anvendes, så vidt det er aftalt på ledelsesniveau.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Det vil være hensigtsmæssigt at arkivere følgende i fysisk form: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Skøder, tinglysningsdokumenter og lignende originaldokumenter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Protokoller (gemmes typisk minimum 30 år)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Byggesagstegninger og andet materiale (kort osv.), der ikke egner sig til elektronisk scanning.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Bemærk at der stadig skal oprettes en sag i IMS Case, hvor det står beskrevet, hvor originaldokumenterne opbevares, samt hvor længe de skal opbevares.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Det anbefales, at forretningskritiske dokumenter opbevares i et aflåst, brandsikkert skab.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43ezi6c6i511" w:id="9"/>
      <w:bookmarkEnd w:id="9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Håndtering af indgående post/breve/mails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 overensstemmelse med loven om brevhemmelighed (se bl.a. Straffelovens § 263) må uautoriserede ikke få adgang til post/breve/mails, der ikke vedkommer dem.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Det skal derfor sikres hele vejen igennem håndteringen af posten, at kun de rette personer kan se indholdet af et brev eller en mail.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Her er en række spørgsmål, der skal tages stilling til: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Håndtering og arkivering af personlig og privat post til ansatte.</w:t>
        <w:tab/>
        <w:br w:type="textWrapping"/>
        <w:t xml:space="preserve">Hvordan skal post, der er sendt til en ansat, men på firmaets adresse, behandles?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Post mærket fortroligt.                     </w:t>
        <w:tab/>
        <w:br w:type="textWrapping"/>
        <w:t xml:space="preserve">Hvem posten er stilet til?                 </w:t>
        <w:tab/>
        <w:br w:type="textWrapping"/>
        <w:t xml:space="preserve">Skal den ansatte selv tage stilling til den videre arkivering?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Værdibreve, f.eks. breve med indlagt check eller kontanter.      </w:t>
        <w:tab/>
        <w:br w:type="textWrapping"/>
        <w:t xml:space="preserve">Skal denne type materiale arkiveres elektronisk, fysisk eller slet ikke?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Supplerende mappearkivering eller makulér?      </w:t>
        <w:tab/>
        <w:br w:type="textWrapping"/>
        <w:t xml:space="preserve">Skal post, der er scannet til elektronisk form, som udgangspunkt fysisk arkiveres eller kan det kasseres og makuleres?</w:t>
      </w:r>
    </w:p>
    <w:p w:rsidR="00000000" w:rsidDel="00000000" w:rsidP="00000000" w:rsidRDefault="00000000" w:rsidRPr="00000000" w14:paraId="00000057">
      <w:pPr>
        <w:spacing w:after="240" w:before="240" w:lineRule="auto"/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56.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Open Sans" w:cs="Open Sans" w:eastAsia="Open Sans" w:hAnsi="Open Sans"/>
          <w:color w:val="404040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color w:val="404040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spacing w:before="480" w:lineRule="auto"/>
        <w:jc w:val="both"/>
        <w:rPr>
          <w:rFonts w:ascii="Open Sans" w:cs="Open Sans" w:eastAsia="Open Sans" w:hAnsi="Open Sans"/>
          <w:sz w:val="46"/>
          <w:szCs w:val="46"/>
        </w:rPr>
      </w:pPr>
      <w:bookmarkStart w:colFirst="0" w:colLast="0" w:name="_vl6ewxiexv0i" w:id="10"/>
      <w:bookmarkEnd w:id="10"/>
      <w:r w:rsidDel="00000000" w:rsidR="00000000" w:rsidRPr="00000000">
        <w:rPr>
          <w:rFonts w:ascii="Open Sans" w:cs="Open Sans" w:eastAsia="Open Sans" w:hAnsi="Open Sans"/>
          <w:sz w:val="46"/>
          <w:szCs w:val="46"/>
          <w:rtl w:val="0"/>
        </w:rPr>
        <w:t xml:space="preserve">Arkivering og journalisering i IMS Case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bbx1ni157ctr" w:id="11"/>
      <w:bookmarkEnd w:id="11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Definitioner</w:t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jc w:val="both"/>
        <w:rPr>
          <w:rFonts w:ascii="Open Sans" w:cs="Open Sans" w:eastAsia="Open Sans" w:hAnsi="Open Sans"/>
          <w:color w:val="000000"/>
          <w:sz w:val="26"/>
          <w:szCs w:val="26"/>
        </w:rPr>
      </w:pPr>
      <w:bookmarkStart w:colFirst="0" w:colLast="0" w:name="_8ce4lpfrslkn" w:id="12"/>
      <w:bookmarkEnd w:id="12"/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Sager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 «sag» defineres som: En samling af samhørende dokumenter, information og aktiviteter, der i sit hele beskriver og dokumenterer en sags behandling – fra start til slut.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 sag kan bestå af: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Almindelig sagshåndtering, herunder administrative opgaver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Måling, evaluering, statistik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Afgørelser og beslutninger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Parter</w:t>
      </w:r>
    </w:p>
    <w:p w:rsidR="00000000" w:rsidDel="00000000" w:rsidP="00000000" w:rsidRDefault="00000000" w:rsidRPr="00000000" w14:paraId="00000063">
      <w:pPr>
        <w:pStyle w:val="Heading4"/>
        <w:keepNext w:val="0"/>
        <w:keepLines w:val="0"/>
        <w:spacing w:after="40" w:before="240" w:lineRule="auto"/>
        <w:jc w:val="both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bookmarkStart w:colFirst="0" w:colLast="0" w:name="_jn45t4uqe8np" w:id="13"/>
      <w:bookmarkEnd w:id="13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Sagstyper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spacing w:after="24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Dossiersag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(typisk elevsager og personalesager)</w:t>
      </w:r>
      <w:r w:rsidDel="00000000" w:rsidR="00000000" w:rsidRPr="00000000">
        <w:rPr>
          <w:rFonts w:ascii="Open Sans" w:cs="Open Sans" w:eastAsia="Open Sans" w:hAnsi="Open Sans"/>
          <w:rtl w:val="0"/>
        </w:rPr>
        <w:tab/>
      </w:r>
    </w:p>
    <w:p w:rsidR="00000000" w:rsidDel="00000000" w:rsidP="00000000" w:rsidRDefault="00000000" w:rsidRPr="00000000" w14:paraId="00000065">
      <w:pPr>
        <w:spacing w:after="240" w:before="240" w:lineRule="auto"/>
        <w:ind w:left="0" w:firstLine="720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Alle dokumenter og informationer om en bestemt </w:t>
      </w:r>
      <w:r w:rsidDel="00000000" w:rsidR="00000000" w:rsidRPr="00000000">
        <w:rPr>
          <w:rFonts w:ascii="Open Sans" w:cs="Open Sans" w:eastAsia="Open Sans" w:hAnsi="Open Sans"/>
          <w:u w:val="single"/>
          <w:rtl w:val="0"/>
        </w:rPr>
        <w:t xml:space="preserve">entitet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(person, organisation)</w:t>
        <w:br w:type="textWrapping"/>
        <w:tab/>
        <w:t xml:space="preserve">En dossiersag kan handle om en medarbejder, en studerende eller lign.</w:t>
        <w:br w:type="textWrapping"/>
        <w:tab/>
        <w:t xml:space="preserve"> Navngivning af en dossiersag: Typisk CPR.nr + evt. emne             </w:t>
        <w:tab/>
        <w:br w:type="textWrapping"/>
        <w:t xml:space="preserve"> </w:t>
        <w:tab/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Note vedr. IMS Case: Du finder nemt disse ved at søge under ”Kontakter” i IMS Case        </w:t>
        <w:tab/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Enkeltsag</w:t>
      </w:r>
    </w:p>
    <w:p w:rsidR="00000000" w:rsidDel="00000000" w:rsidP="00000000" w:rsidRDefault="00000000" w:rsidRPr="00000000" w14:paraId="00000067">
      <w:pPr>
        <w:spacing w:after="240" w:before="240" w:lineRule="auto"/>
        <w:ind w:left="720" w:firstLine="0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Alle dokumenter omkring en enkelt aktivitet, hændelse eller korrespondance.</w:t>
        <w:br w:type="textWrapping"/>
        <w:t xml:space="preserve">En enkeltsag kan stadig handle om en medarbejder, en studerende eller lign., men er knyttet til netop denne aktivitet.                    </w:t>
        <w:tab/>
        <w:br w:type="textWrapping"/>
        <w:t xml:space="preserve">Eksempler: Akkreditering, optagelse, deltagelse i et offentlig udbud, huslejekontrakt.</w:t>
        <w:br w:type="textWrapping"/>
        <w:t xml:space="preserve">Navngivning af enkeltsag: Hvem + hvad + hvor + hvornår – så sagens kan genfindes entydigt.</w:t>
        <w:br w:type="textWrapping"/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Note vedr. IMS Case: Du finder typisk disse sager under den specifikke journalplansnøgle.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Samlesager</w:t>
      </w:r>
    </w:p>
    <w:p w:rsidR="00000000" w:rsidDel="00000000" w:rsidP="00000000" w:rsidRDefault="00000000" w:rsidRPr="00000000" w14:paraId="00000069">
      <w:pPr>
        <w:spacing w:after="240" w:before="240" w:lineRule="auto"/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Alle dokumenter og data indkommet fortløbende på en sag. Det er typisk her dokumentation og statistik om et emne samles.          </w:t>
        <w:tab/>
        <w:br w:type="textWrapping"/>
        <w:t xml:space="preserve">Navngivning af en samlesag: Hvem + tidsperiode  </w:t>
        <w:br w:type="textWrapping"/>
        <w:t xml:space="preserve">Eksempler: Budgetter, referater, årsrapporter    </w:t>
        <w:tab/>
      </w:r>
    </w:p>
    <w:p w:rsidR="00000000" w:rsidDel="00000000" w:rsidP="00000000" w:rsidRDefault="00000000" w:rsidRPr="00000000" w14:paraId="0000006A">
      <w:pPr>
        <w:spacing w:after="240" w:before="240" w:lineRule="auto"/>
        <w:ind w:left="720" w:firstLine="0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Note vedr. IMS Case: Du finder typisk disse sager under den specifikke journalplansnøgle</w:t>
      </w:r>
    </w:p>
    <w:p w:rsidR="00000000" w:rsidDel="00000000" w:rsidP="00000000" w:rsidRDefault="00000000" w:rsidRPr="00000000" w14:paraId="0000006B">
      <w:pPr>
        <w:pStyle w:val="Heading4"/>
        <w:keepNext w:val="0"/>
        <w:keepLines w:val="0"/>
        <w:spacing w:after="40" w:before="240" w:lineRule="auto"/>
        <w:jc w:val="both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bookmarkStart w:colFirst="0" w:colLast="0" w:name="_ahqyerjbhx0o" w:id="14"/>
      <w:bookmarkEnd w:id="14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Sagsskabeloner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Case opbygges ofte på baggrund af forskellige sagsskabeloner. De adskiller sig fra hinanden i opbygningen fx i forhold til metadata, mapper, adgangsgrupper og eventuelle dokumentskabeloner eller workflows.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er oprettet følgende sagsskabeloner i IMS Case: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spacing w:before="280" w:lineRule="auto"/>
        <w:jc w:val="both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bookmarkStart w:colFirst="0" w:colLast="0" w:name="_m846o8b4q4uk" w:id="15"/>
      <w:bookmarkEnd w:id="15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Dokumenter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Dokumenter, der skal journaliseres i IMS Case, kan være fx mails, notater, rapporter osv. I forbindelse med journaliseringen skal der tages stilling til dokumenttype, dvs. om dokumentet er indgående/udgående post, notat, referat osv.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er oprettet følgende dokumenttyper i IMS Case: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spacing w:before="280" w:lineRule="auto"/>
        <w:jc w:val="both"/>
        <w:rPr>
          <w:rFonts w:ascii="Open Sans" w:cs="Open Sans" w:eastAsia="Open Sans" w:hAnsi="Open Sans"/>
          <w:color w:val="000000"/>
          <w:sz w:val="26"/>
          <w:szCs w:val="26"/>
        </w:rPr>
      </w:pPr>
      <w:bookmarkStart w:colFirst="0" w:colLast="0" w:name="_8o0h9i2ozqbp" w:id="16"/>
      <w:bookmarkEnd w:id="16"/>
      <w:r w:rsidDel="00000000" w:rsidR="00000000" w:rsidRPr="00000000">
        <w:rPr>
          <w:rFonts w:ascii="Open Sans" w:cs="Open Sans" w:eastAsia="Open Sans" w:hAnsi="Open Sans"/>
          <w:color w:val="000000"/>
          <w:sz w:val="26"/>
          <w:szCs w:val="26"/>
          <w:rtl w:val="0"/>
        </w:rPr>
        <w:t xml:space="preserve">Kassation og opbevaringspolitik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 IMS Case er det muligt at koble henholdsvis sags- og dokumentkassation. Dokumentation for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valg af kassation og dokumentation herfor forefindes i bilag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rFonts w:ascii="Open Sans" w:cs="Open Sans" w:eastAsia="Open Sans" w:hAnsi="Open Sans"/>
          <w:color w:val="40404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keepNext w:val="0"/>
        <w:keepLines w:val="0"/>
        <w:spacing w:before="480" w:lineRule="auto"/>
        <w:jc w:val="both"/>
        <w:rPr>
          <w:rFonts w:ascii="Open Sans" w:cs="Open Sans" w:eastAsia="Open Sans" w:hAnsi="Open Sans"/>
          <w:sz w:val="46"/>
          <w:szCs w:val="46"/>
        </w:rPr>
      </w:pPr>
      <w:bookmarkStart w:colFirst="0" w:colLast="0" w:name="_w2u7vm4oqi7h" w:id="17"/>
      <w:bookmarkEnd w:id="17"/>
      <w:r w:rsidDel="00000000" w:rsidR="00000000" w:rsidRPr="00000000">
        <w:rPr>
          <w:rFonts w:ascii="Open Sans" w:cs="Open Sans" w:eastAsia="Open Sans" w:hAnsi="Open Sans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7B">
      <w:pPr>
        <w:pStyle w:val="Heading1"/>
        <w:keepNext w:val="0"/>
        <w:keepLines w:val="0"/>
        <w:spacing w:before="480" w:lineRule="auto"/>
        <w:jc w:val="both"/>
        <w:rPr>
          <w:rFonts w:ascii="Open Sans" w:cs="Open Sans" w:eastAsia="Open Sans" w:hAnsi="Open Sans"/>
          <w:sz w:val="46"/>
          <w:szCs w:val="46"/>
        </w:rPr>
      </w:pPr>
      <w:bookmarkStart w:colFirst="0" w:colLast="0" w:name="_w6791l2zv8vf" w:id="18"/>
      <w:bookmarkEnd w:id="18"/>
      <w:r w:rsidDel="00000000" w:rsidR="00000000" w:rsidRPr="00000000">
        <w:rPr>
          <w:rFonts w:ascii="Open Sans" w:cs="Open Sans" w:eastAsia="Open Sans" w:hAnsi="Open Sans"/>
          <w:sz w:val="46"/>
          <w:szCs w:val="46"/>
          <w:rtl w:val="0"/>
        </w:rPr>
        <w:t xml:space="preserve">Ansvar og roller i IMS Case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Ansvaret for denne arkivinstruks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påhviler: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Denne skal sikre, at arkivinstruksen efterleves og vedligeholdes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rFonts w:ascii="Open Sans" w:cs="Open Sans" w:eastAsia="Open Sans" w:hAnsi="Open Sans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Systemejer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er: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[XX]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Denne skal bidrage til systemets tilgængelighed og funktionalitet i samspil med virksomhedens øvrige IT-systemer.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rFonts w:ascii="Open Sans" w:cs="Open Sans" w:eastAsia="Open Sans" w:hAnsi="Open Sans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Superbrugere, der ligeledes har direkte adgang til Visma IMS’ supportteam er: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 [XX]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Det er denne/disses ansvar at sikre at den korrekte anvendelse af IMS Case i henhold til denne arkivinstruks i det daglige arbejde.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er 3 niveauer af roller og rettigheder i IMS Case:</w:t>
      </w:r>
    </w:p>
    <w:p w:rsidR="00000000" w:rsidDel="00000000" w:rsidP="00000000" w:rsidRDefault="00000000" w:rsidRPr="00000000" w14:paraId="00000083">
      <w:pPr>
        <w:spacing w:after="240" w:before="240" w:lineRule="auto"/>
        <w:ind w:left="360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1.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Administratorer: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Det kan være system og / eller arkivadministrator</w:t>
        <w:br w:type="textWrapping"/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Der er mulighed for at lave særlige rolletilladelser i administrationsmodulet, som kam give enkelte personer i organisationen adgang til bestemte området i administrationen.</w:t>
      </w:r>
    </w:p>
    <w:p w:rsidR="00000000" w:rsidDel="00000000" w:rsidP="00000000" w:rsidRDefault="00000000" w:rsidRPr="00000000" w14:paraId="00000084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Almindelige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brugere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af IMS Case</w:t>
      </w:r>
    </w:p>
    <w:p w:rsidR="00000000" w:rsidDel="00000000" w:rsidP="00000000" w:rsidRDefault="00000000" w:rsidRPr="00000000" w14:paraId="00000085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3.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Parter, interne eller eksterne, som kan indgå i et samarbejdsforum og få adgang til hele eller dele af en sag eller dokumenter fra en sag</w:t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Se bilag 2 for en oversigt over roller i IMS Case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Se bilag 3 for en oversigt over rettigheder for de enkelte roller</w:t>
      </w:r>
    </w:p>
    <w:p w:rsidR="00000000" w:rsidDel="00000000" w:rsidP="00000000" w:rsidRDefault="00000000" w:rsidRPr="00000000" w14:paraId="00000088">
      <w:pPr>
        <w:spacing w:line="256.8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pStyle w:val="Heading1"/>
        <w:keepNext w:val="0"/>
        <w:keepLines w:val="0"/>
        <w:spacing w:before="480" w:lineRule="auto"/>
        <w:jc w:val="both"/>
        <w:rPr>
          <w:rFonts w:ascii="Open Sans" w:cs="Open Sans" w:eastAsia="Open Sans" w:hAnsi="Open Sans"/>
          <w:sz w:val="46"/>
          <w:szCs w:val="46"/>
        </w:rPr>
      </w:pPr>
      <w:bookmarkStart w:colFirst="0" w:colLast="0" w:name="_wgv0qda5gcqs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keepNext w:val="0"/>
        <w:keepLines w:val="0"/>
        <w:spacing w:before="480" w:lineRule="auto"/>
        <w:jc w:val="both"/>
        <w:rPr>
          <w:rFonts w:ascii="Open Sans" w:cs="Open Sans" w:eastAsia="Open Sans" w:hAnsi="Open Sans"/>
          <w:sz w:val="46"/>
          <w:szCs w:val="46"/>
        </w:rPr>
      </w:pPr>
      <w:bookmarkStart w:colFirst="0" w:colLast="0" w:name="_q0sfz59bu4k0" w:id="20"/>
      <w:bookmarkEnd w:id="20"/>
      <w:r w:rsidDel="00000000" w:rsidR="00000000" w:rsidRPr="00000000">
        <w:rPr>
          <w:rFonts w:ascii="Open Sans" w:cs="Open Sans" w:eastAsia="Open Sans" w:hAnsi="Open Sans"/>
          <w:sz w:val="46"/>
          <w:szCs w:val="46"/>
          <w:rtl w:val="0"/>
        </w:rPr>
        <w:t xml:space="preserve">Bilag</w:t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ianlqrodnnrm" w:id="21"/>
      <w:bookmarkEnd w:id="21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Bilag 1: Dokumenttyper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Eksempler på dokumenttyper, der skal arkiveres i IMS Case arkiv:</w:t>
      </w:r>
    </w:p>
    <w:p w:rsidR="00000000" w:rsidDel="00000000" w:rsidP="00000000" w:rsidRDefault="00000000" w:rsidRPr="00000000" w14:paraId="0000008E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Aftaler</w:t>
      </w:r>
    </w:p>
    <w:p w:rsidR="00000000" w:rsidDel="00000000" w:rsidP="00000000" w:rsidRDefault="00000000" w:rsidRPr="00000000" w14:paraId="0000008F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Agentaftaler</w:t>
      </w:r>
    </w:p>
    <w:p w:rsidR="00000000" w:rsidDel="00000000" w:rsidP="00000000" w:rsidRDefault="00000000" w:rsidRPr="00000000" w14:paraId="00000090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Akkrediteringer</w:t>
      </w:r>
    </w:p>
    <w:p w:rsidR="00000000" w:rsidDel="00000000" w:rsidP="00000000" w:rsidRDefault="00000000" w:rsidRPr="00000000" w14:paraId="00000091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Bestyrelsesarbejder</w:t>
      </w:r>
    </w:p>
    <w:p w:rsidR="00000000" w:rsidDel="00000000" w:rsidP="00000000" w:rsidRDefault="00000000" w:rsidRPr="00000000" w14:paraId="00000092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Handleplaner</w:t>
      </w:r>
    </w:p>
    <w:p w:rsidR="00000000" w:rsidDel="00000000" w:rsidP="00000000" w:rsidRDefault="00000000" w:rsidRPr="00000000" w14:paraId="00000093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Klager</w:t>
      </w:r>
    </w:p>
    <w:p w:rsidR="00000000" w:rsidDel="00000000" w:rsidP="00000000" w:rsidRDefault="00000000" w:rsidRPr="00000000" w14:paraId="00000094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Kontrakter</w:t>
      </w:r>
    </w:p>
    <w:p w:rsidR="00000000" w:rsidDel="00000000" w:rsidP="00000000" w:rsidRDefault="00000000" w:rsidRPr="00000000" w14:paraId="00000095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Kvalitetsarbejde</w:t>
      </w:r>
    </w:p>
    <w:p w:rsidR="00000000" w:rsidDel="00000000" w:rsidP="00000000" w:rsidRDefault="00000000" w:rsidRPr="00000000" w14:paraId="00000096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Mødebilag: dagsordener og referater</w:t>
      </w:r>
    </w:p>
    <w:p w:rsidR="00000000" w:rsidDel="00000000" w:rsidP="00000000" w:rsidRDefault="00000000" w:rsidRPr="00000000" w14:paraId="00000097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Målsætninger</w:t>
      </w:r>
    </w:p>
    <w:p w:rsidR="00000000" w:rsidDel="00000000" w:rsidP="00000000" w:rsidRDefault="00000000" w:rsidRPr="00000000" w14:paraId="00000098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Organisationsplaner</w:t>
      </w:r>
    </w:p>
    <w:p w:rsidR="00000000" w:rsidDel="00000000" w:rsidP="00000000" w:rsidRDefault="00000000" w:rsidRPr="00000000" w14:paraId="00000099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Partnerskabsaftaler</w:t>
      </w:r>
    </w:p>
    <w:p w:rsidR="00000000" w:rsidDel="00000000" w:rsidP="00000000" w:rsidRDefault="00000000" w:rsidRPr="00000000" w14:paraId="0000009A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Politikker</w:t>
      </w:r>
    </w:p>
    <w:p w:rsidR="00000000" w:rsidDel="00000000" w:rsidP="00000000" w:rsidRDefault="00000000" w:rsidRPr="00000000" w14:paraId="0000009B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Procedurebeskrivelser</w:t>
      </w:r>
    </w:p>
    <w:p w:rsidR="00000000" w:rsidDel="00000000" w:rsidP="00000000" w:rsidRDefault="00000000" w:rsidRPr="00000000" w14:paraId="0000009C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Projektansøgninger / beskrivelser mv.</w:t>
      </w:r>
    </w:p>
    <w:p w:rsidR="00000000" w:rsidDel="00000000" w:rsidP="00000000" w:rsidRDefault="00000000" w:rsidRPr="00000000" w14:paraId="0000009D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Regelsæt</w:t>
      </w:r>
    </w:p>
    <w:p w:rsidR="00000000" w:rsidDel="00000000" w:rsidP="00000000" w:rsidRDefault="00000000" w:rsidRPr="00000000" w14:paraId="0000009E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Samarbejdsaftaler</w:t>
      </w:r>
    </w:p>
    <w:p w:rsidR="00000000" w:rsidDel="00000000" w:rsidP="00000000" w:rsidRDefault="00000000" w:rsidRPr="00000000" w14:paraId="0000009F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Strategier</w:t>
      </w:r>
    </w:p>
    <w:p w:rsidR="00000000" w:rsidDel="00000000" w:rsidP="00000000" w:rsidRDefault="00000000" w:rsidRPr="00000000" w14:paraId="000000A0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Studieordninger</w:t>
      </w:r>
    </w:p>
    <w:p w:rsidR="00000000" w:rsidDel="00000000" w:rsidP="00000000" w:rsidRDefault="00000000" w:rsidRPr="00000000" w14:paraId="000000A1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Studievejledning: Retningslinjer mv.</w:t>
      </w:r>
    </w:p>
    <w:p w:rsidR="00000000" w:rsidDel="00000000" w:rsidP="00000000" w:rsidRDefault="00000000" w:rsidRPr="00000000" w14:paraId="000000A2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Udvalgsarbejde</w:t>
      </w:r>
    </w:p>
    <w:p w:rsidR="00000000" w:rsidDel="00000000" w:rsidP="00000000" w:rsidRDefault="00000000" w:rsidRPr="00000000" w14:paraId="000000A3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Udviklingskontrakter</w:t>
      </w:r>
    </w:p>
    <w:p w:rsidR="00000000" w:rsidDel="00000000" w:rsidP="00000000" w:rsidRDefault="00000000" w:rsidRPr="00000000" w14:paraId="000000A4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Vedtægter</w:t>
      </w:r>
    </w:p>
    <w:p w:rsidR="00000000" w:rsidDel="00000000" w:rsidP="00000000" w:rsidRDefault="00000000" w:rsidRPr="00000000" w14:paraId="000000A5">
      <w:pPr>
        <w:spacing w:after="240" w:before="240" w:lineRule="auto"/>
        <w:ind w:left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·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Årsrapporter</w:t>
      </w:r>
    </w:p>
    <w:p w:rsidR="00000000" w:rsidDel="00000000" w:rsidP="00000000" w:rsidRDefault="00000000" w:rsidRPr="00000000" w14:paraId="000000A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>
          <w:rFonts w:ascii="Open Sans" w:cs="Open Sans" w:eastAsia="Open Sans" w:hAnsi="Open Sans"/>
          <w:color w:val="7f7f7f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7f7f7f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nccbvwy4hjei" w:id="22"/>
      <w:bookmarkEnd w:id="22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Bilag </w:t>
      </w:r>
      <w:r w:rsidDel="00000000" w:rsidR="00000000" w:rsidRPr="00000000">
        <w:rPr>
          <w:rFonts w:ascii="Open Sans" w:cs="Open Sans" w:eastAsia="Open Sans" w:hAnsi="Open Sans"/>
          <w:sz w:val="34"/>
          <w:szCs w:val="34"/>
          <w:highlight w:val="yellow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: Roller, opgaver og rettigheder</w:t>
      </w:r>
    </w:p>
    <w:p w:rsidR="00000000" w:rsidDel="00000000" w:rsidP="00000000" w:rsidRDefault="00000000" w:rsidRPr="00000000" w14:paraId="000000A9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6.364105753547"/>
        <w:gridCol w:w="3981.4478331788264"/>
        <w:gridCol w:w="2407.6998720912497"/>
        <w:tblGridChange w:id="0">
          <w:tblGrid>
            <w:gridCol w:w="2636.364105753547"/>
            <w:gridCol w:w="3981.4478331788264"/>
            <w:gridCol w:w="2407.699872091249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Rolle</w:t>
            </w:r>
          </w:p>
        </w:tc>
        <w:tc>
          <w:tcPr>
            <w:tcBorders>
              <w:top w:color="a5a5a5" w:space="0" w:sz="6" w:val="single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Rettigheder</w:t>
            </w:r>
          </w:p>
        </w:tc>
        <w:tc>
          <w:tcPr>
            <w:tcBorders>
              <w:top w:color="a5a5a5" w:space="0" w:sz="6" w:val="single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Hvem er det typisk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Almindelige brugere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Arkivere og redigere dokumenter</w:t>
              <w:br w:type="textWrapping"/>
              <w:t xml:space="preserve">Dette sker efter de gældende interne procedurevejledninger</w:t>
            </w:r>
          </w:p>
          <w:p w:rsidR="00000000" w:rsidDel="00000000" w:rsidP="00000000" w:rsidRDefault="00000000" w:rsidRPr="00000000" w14:paraId="000000AF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Oprette og vedligeholde sager</w:t>
            </w:r>
          </w:p>
          <w:p w:rsidR="00000000" w:rsidDel="00000000" w:rsidP="00000000" w:rsidRDefault="00000000" w:rsidRPr="00000000" w14:paraId="000000B0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Søgning på åbne sager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interne medarbejdere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Almindelige bruger med særlige beføjelser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Adgang til sager, der er adgangsbegrænset via en sagstype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Søgning på sager med adgangsbegrænsning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HR, studievejledning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Journaliseringsansvarlig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Navngivning af sager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Opsætning af kassationsregler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Vedligeholdelse og ændringer i journalplan(er)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Arkivfunktion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Persondataansvarlige (DPO)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Sikre og tilse at håndteringen og arkivering af persondata sker efter gældende GDPR-regler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DPO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Superbrugere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Vejledning i og formidling af brug af IMS Case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IT - Systemadministration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Til- og framelde brugere fra MS Active Directory (AD ‘et)</w:t>
            </w:r>
          </w:p>
          <w:p w:rsidR="00000000" w:rsidDel="00000000" w:rsidP="00000000" w:rsidRDefault="00000000" w:rsidRPr="00000000" w14:paraId="000000C3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Teknisk opdatere og vedligeholde IMS Arkiv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IT-ansvarlige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0" w:val="nil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Arkivadministration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Vedligeholdelse af brugernes rettigheder og deltagelse i adgangsgrupper</w:t>
            </w:r>
          </w:p>
          <w:p w:rsidR="00000000" w:rsidDel="00000000" w:rsidP="00000000" w:rsidRDefault="00000000" w:rsidRPr="00000000" w14:paraId="000000C7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Opsætte og vedligeholde medlemsgrupper</w:t>
            </w:r>
          </w:p>
          <w:p w:rsidR="00000000" w:rsidDel="00000000" w:rsidP="00000000" w:rsidRDefault="00000000" w:rsidRPr="00000000" w14:paraId="000000C8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Definere og opsætte globale indstillinger</w:t>
            </w:r>
          </w:p>
          <w:p w:rsidR="00000000" w:rsidDel="00000000" w:rsidP="00000000" w:rsidRDefault="00000000" w:rsidRPr="00000000" w14:paraId="000000C9">
            <w:pPr>
              <w:ind w:left="0" w:firstLine="0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Formidling til brugere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Arkivadministrator/er</w:t>
            </w:r>
          </w:p>
        </w:tc>
      </w:tr>
    </w:tbl>
    <w:p w:rsidR="00000000" w:rsidDel="00000000" w:rsidP="00000000" w:rsidRDefault="00000000" w:rsidRPr="00000000" w14:paraId="000000CB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wml32fheb54b" w:id="23"/>
      <w:bookmarkEnd w:id="23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line="256.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40" w:before="240" w:lineRule="auto"/>
        <w:jc w:val="both"/>
        <w:rPr>
          <w:rFonts w:ascii="Open Sans" w:cs="Open Sans" w:eastAsia="Open Sans" w:hAnsi="Open Sans"/>
          <w:color w:val="7f7f7f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color w:val="7f7f7f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CE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k9e018dzhpg2" w:id="24"/>
      <w:bookmarkEnd w:id="24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Bilag </w:t>
      </w:r>
      <w:r w:rsidDel="00000000" w:rsidR="00000000" w:rsidRPr="00000000">
        <w:rPr>
          <w:rFonts w:ascii="Open Sans" w:cs="Open Sans" w:eastAsia="Open Sans" w:hAnsi="Open Sans"/>
          <w:sz w:val="34"/>
          <w:szCs w:val="34"/>
          <w:highlight w:val="yellow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: Rettigheder for administrationsrollen i IMS Case</w:t>
      </w:r>
    </w:p>
    <w:p w:rsidR="00000000" w:rsidDel="00000000" w:rsidP="00000000" w:rsidRDefault="00000000" w:rsidRPr="00000000" w14:paraId="000000CF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4890"/>
        <w:tblGridChange w:id="0">
          <w:tblGrid>
            <w:gridCol w:w="3975"/>
            <w:gridCol w:w="48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Style w:val="Heading3"/>
              <w:keepNext w:val="0"/>
              <w:keepLines w:val="0"/>
              <w:spacing w:before="280" w:lineRule="auto"/>
              <w:jc w:val="both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bookmarkStart w:colFirst="0" w:colLast="0" w:name="_gwp4bri64zr9" w:id="25"/>
            <w:bookmarkEnd w:id="25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Sager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Oprette sager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brugere, der er angivet som sagsskriver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Omdøbe sager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brugere, der er angivet som sagsskriver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Redigere sagens metadata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brugere, der er angivet som sagsskriver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Om-arkivere sager (flytte i journalplan)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brugere, der er angivet som sagsskriver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Slette sager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Brugere kan slette egne kladder, men aldrig færdigarkiverede dokumenter (status ’Endelig’)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Style w:val="Heading3"/>
              <w:keepNext w:val="0"/>
              <w:keepLines w:val="0"/>
              <w:spacing w:before="280" w:lineRule="auto"/>
              <w:jc w:val="both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bookmarkStart w:colFirst="0" w:colLast="0" w:name="_n60k51zczosk" w:id="26"/>
            <w:bookmarkEnd w:id="26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Dokumenter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Uploade en fil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brugere, der er angivet som sagsskriver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Arkivere en fil (dokument)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brugere, der er angivet som sagsskriver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Gemme en fil som en kladde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Sætte status som ”endelig”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 brugere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Åbne et dokument, der er sat til ”endelig”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Arkivadministrator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Style w:val="Heading3"/>
              <w:keepNext w:val="0"/>
              <w:keepLines w:val="0"/>
              <w:spacing w:before="280" w:lineRule="auto"/>
              <w:jc w:val="both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bookmarkStart w:colFirst="0" w:colLast="0" w:name="_cl3liiak95xm" w:id="27"/>
            <w:bookmarkEnd w:id="27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Systemopsætning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Dokumenttyper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Administrator/Systemejer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Sagsskabeloner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Administrator/Systemejer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Kassation/Opbevaringspolitik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Administrator/Systemejer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Oprette en ny journalplan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Visma IMS (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tilkøb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Ændre journalplan / flytte nøgler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Administrator/Systemejer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Oprette nye nøgler i journalplan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Administrator/Systemejer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Slette nøgler i journalplan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Administrator/Systemejer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jc w:val="both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E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100">
      <w:pPr>
        <w:pStyle w:val="Heading2"/>
        <w:keepNext w:val="0"/>
        <w:keepLines w:val="0"/>
        <w:spacing w:after="80" w:lineRule="auto"/>
        <w:jc w:val="both"/>
        <w:rPr>
          <w:rFonts w:ascii="Open Sans" w:cs="Open Sans" w:eastAsia="Open Sans" w:hAnsi="Open Sans"/>
          <w:sz w:val="34"/>
          <w:szCs w:val="34"/>
        </w:rPr>
      </w:pPr>
      <w:bookmarkStart w:colFirst="0" w:colLast="0" w:name="_jeksd9l9d42" w:id="28"/>
      <w:bookmarkEnd w:id="28"/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Bilag </w:t>
      </w:r>
      <w:r w:rsidDel="00000000" w:rsidR="00000000" w:rsidRPr="00000000">
        <w:rPr>
          <w:rFonts w:ascii="Open Sans" w:cs="Open Sans" w:eastAsia="Open Sans" w:hAnsi="Open Sans"/>
          <w:sz w:val="34"/>
          <w:szCs w:val="34"/>
          <w:highlight w:val="yellow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34"/>
          <w:szCs w:val="34"/>
          <w:rtl w:val="0"/>
        </w:rPr>
        <w:t xml:space="preserve">: Regler for opbevaringspolitik i IMS Case</w:t>
      </w:r>
    </w:p>
    <w:p w:rsidR="00000000" w:rsidDel="00000000" w:rsidP="00000000" w:rsidRDefault="00000000" w:rsidRPr="00000000" w14:paraId="00000101">
      <w:pPr>
        <w:spacing w:after="24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Angiv dokumentation fra IMS Case, herunder hvilke sags- og dokumentkassationer, der op opsat i systemet.</w:t>
      </w:r>
    </w:p>
    <w:p w:rsidR="00000000" w:rsidDel="00000000" w:rsidP="00000000" w:rsidRDefault="00000000" w:rsidRPr="00000000" w14:paraId="00000102">
      <w:pPr>
        <w:spacing w:after="240" w:befor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retsinformation.dk/eli/lta/2016/1640" TargetMode="External"/><Relationship Id="rId10" Type="http://schemas.openxmlformats.org/officeDocument/2006/relationships/hyperlink" Target="https://www.retsinformation.dk/eli/lta/2018/502" TargetMode="External"/><Relationship Id="rId9" Type="http://schemas.openxmlformats.org/officeDocument/2006/relationships/hyperlink" Target="https://www.retsinformation.dk/eli/lta/2014/433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etsinformation.dk/eli/lta/2016/1201" TargetMode="External"/><Relationship Id="rId8" Type="http://schemas.openxmlformats.org/officeDocument/2006/relationships/hyperlink" Target="https://www.retsinformation.dk/eli/lta/2020/14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